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0" w:name="_Toc0"/>
      <w:r>
        <w:t>Library Services</w:t>
      </w:r>
      <w:bookmarkEnd w:id="0"/>
    </w:p>
    <w:tbl>
      <w:tblGrid>
        <w:gridCol w:w="8000" w:type="dxa"/>
        <w:gridCol w:w="2000" w:type="dxa"/>
        <w:gridCol w:w="1000" w:type="dxa"/>
      </w:tblGrid>
      <w:tr>
        <w:trPr>
          <w:trHeight w:val="300" w:hRule="exact"/>
        </w:trPr>
        <w:tc>
          <w:tcPr>
            <w:tcW w:w="8000" w:type="dxa"/>
            <w:vAlign w:val="center"/>
            <w:tcBorders>
              <w:bottom w:val="single" w:sz="12" w:color="808080"/>
            </w:tcBorders>
            <w:noWrap/>
          </w:tcPr>
          <w:p>
            <w:pPr>
              <w:jc w:val="start"/>
            </w:pPr>
            <w:r>
              <w:rPr>
                <w:rStyle w:val="FMLstyleB"/>
              </w:rPr>
              <w:t xml:space="preserve">Name</w:t>
            </w:r>
          </w:p>
        </w:tc>
        <w:tc>
          <w:tcPr>
            <w:tcW w:w="2000" w:type="dxa"/>
            <w:vAlign w:val="center"/>
            <w:tcBorders>
              <w:bottom w:val="single" w:sz="12" w:color="808080"/>
            </w:tcBorders>
            <w:noWrap/>
          </w:tcPr>
          <w:p>
            <w:pPr>
              <w:jc w:val="start"/>
            </w:pPr>
            <w:r>
              <w:rPr>
                <w:rStyle w:val="FMLstyleB"/>
              </w:rPr>
              <w:t xml:space="preserve">Phone</w:t>
            </w:r>
          </w:p>
        </w:tc>
        <w:tc>
          <w:tcPr>
            <w:tcW w:w="1000" w:type="dxa"/>
            <w:vAlign w:val="center"/>
            <w:tcBorders>
              <w:bottom w:val="single" w:sz="12" w:color="808080"/>
            </w:tcBorders>
            <w:noWrap/>
          </w:tcPr>
          <w:p>
            <w:pPr>
              <w:jc w:val="end"/>
            </w:pPr>
            <w:r>
              <w:rPr>
                <w:rStyle w:val="FMLstyleB"/>
              </w:rPr>
              <w:t xml:space="preserve">Office</w:t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Checkout Desk, Founders Library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815-753-9844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1st Floor</w:t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Checkout Desk, Music Library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815-753-9002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175</w:t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Collections Maintenance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815-753-1920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376</w:t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Facilities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815-753-1612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115A</w:t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Fax - Administration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815-753-9803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/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Fax - IDS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815-753-2003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/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Government Publications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815-753-1978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245</w:t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Illinois Regional Archives Depository (IRAD)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815-753-1807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245</w:t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Information Delivery Services (IDS)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815-753-9842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127</w:t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Library Hours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815-753-1995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/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Research Help Desk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815-753-0152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1st Floor</w:t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Scholarly Communications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815-753-0576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145D</w:t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Security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815-753-0164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104A</w:t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Southeast Asia Collection 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815-753-1809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497</w:t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Special Collections and Archives 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815-753-9392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404</w:t>
            </w:r>
          </w:p>
        </w:tc>
      </w:tr>
      <w:tr>
        <w:trPr>
          <w:trHeight w:val="300" w:hRule="exact"/>
        </w:trPr>
        <w:tc>
          <w:tcPr>
            <w:tcW w:w="8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Technology Support Services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815-753-9452</w:t>
            </w:r>
          </w:p>
        </w:tc>
        <w:tc>
          <w:tcPr>
            <w:tcW w:w="10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97</w:t>
            </w:r>
          </w:p>
        </w:tc>
      </w:tr>
    </w:tbl>
    <w:tbl>
      <w:tblGrid/>
      <w:tr>
        <w:trPr>
          <w:trHeight w:val="50" w:hRule="exact"/>
        </w:trPr>
        <w:tc>
          <w:tcPr>
            <w:noWrap/>
          </w:tcPr>
          <w:p/>
        </w:tc>
      </w:tr>
    </w:tbl>
    <w:tbl>
      <w:tblGrid/>
      <w:tr>
        <w:trPr>
          <w:trHeight w:val="200" w:hRule="exact"/>
        </w:trPr>
        <w:tc>
          <w:tcPr>
            <w:noWrap/>
          </w:tcPr>
          <w:p/>
        </w:tc>
      </w:tr>
    </w:tbl>
    <w:p>
      <w:pPr>
        <w:pStyle w:val="Heading2"/>
      </w:pPr>
      <w:bookmarkStart w:id="1" w:name="_Toc1"/>
      <w:r>
        <w:t>Library Personnel</w:t>
      </w:r>
      <w:bookmarkEnd w:id="1"/>
    </w:p>
    <w:tbl>
      <w:tblGrid>
        <w:gridCol w:w="3000" w:type="dxa"/>
        <w:gridCol w:w="5000" w:type="dxa"/>
        <w:gridCol w:w="2000" w:type="dxa"/>
        <w:gridCol w:w="900" w:type="dxa"/>
      </w:tblGrid>
      <w:tr>
        <w:trPr>
          <w:trHeight w:val="300" w:hRule="exact"/>
        </w:trPr>
        <w:tc>
          <w:tcPr>
            <w:tcW w:w="3000" w:type="dxa"/>
            <w:vAlign w:val="center"/>
            <w:tcBorders>
              <w:bottom w:val="single" w:sz="12" w:color="808080"/>
            </w:tcBorders>
            <w:noWrap/>
          </w:tcPr>
          <w:p>
            <w:pPr>
              <w:jc w:val="start"/>
            </w:pPr>
            <w:r>
              <w:rPr>
                <w:rStyle w:val="FMLstyleB"/>
              </w:rPr>
              <w:t xml:space="preserve">Name</w:t>
            </w:r>
          </w:p>
        </w:tc>
        <w:tc>
          <w:tcPr>
            <w:tcW w:w="5000" w:type="dxa"/>
            <w:vAlign w:val="center"/>
            <w:tcBorders>
              <w:bottom w:val="single" w:sz="12" w:color="808080"/>
            </w:tcBorders>
            <w:noWrap/>
          </w:tcPr>
          <w:p>
            <w:pPr>
              <w:jc w:val="start"/>
            </w:pPr>
            <w:r>
              <w:rPr>
                <w:rStyle w:val="FMLstyleB"/>
              </w:rPr>
              <w:t xml:space="preserve">Department</w:t>
            </w:r>
          </w:p>
        </w:tc>
        <w:tc>
          <w:tcPr>
            <w:tcW w:w="2000" w:type="dxa"/>
            <w:vAlign w:val="center"/>
            <w:tcBorders>
              <w:bottom w:val="single" w:sz="12" w:color="808080"/>
            </w:tcBorders>
            <w:noWrap/>
          </w:tcPr>
          <w:p>
            <w:pPr>
              <w:jc w:val="start"/>
            </w:pPr>
            <w:r>
              <w:rPr>
                <w:rStyle w:val="FMLstyleB"/>
              </w:rPr>
              <w:t xml:space="preserve">Phone</w:t>
            </w:r>
          </w:p>
        </w:tc>
        <w:tc>
          <w:tcPr>
            <w:tcW w:w="900" w:type="dxa"/>
            <w:vAlign w:val="center"/>
            <w:tcBorders>
              <w:bottom w:val="single" w:sz="12" w:color="808080"/>
            </w:tcBorders>
            <w:noWrap/>
          </w:tcPr>
          <w:p>
            <w:pPr>
              <w:jc w:val="end"/>
            </w:pPr>
            <w:r>
              <w:rPr>
                <w:rStyle w:val="FMLstyleB"/>
              </w:rPr>
              <w:t xml:space="preserve">Office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Amberg, Alli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Administration (ADM)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815-753-0410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FM428B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Ayers, Meredith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Research and Instruction (REF)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815-753-1872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FM304A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Barnhart, Fred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Administration (ADM)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815-753-9801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FM408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Barshinger, Ron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.8"/>
                <w:szCs w:val="16.8"/>
              </w:rPr>
              <w:t xml:space="preserve">Circulation (CIRC)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815-753-9846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FM115C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Burns, Mary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Technical Services (TS)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815-753-1192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FM71B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Chlebanowski, Peter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Collections Maintenance (CMC)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815-753-1920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FM376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Cochrane, Keith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Information Delivery Services (IDS)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815-753-9245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FM127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Conant, Brian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Digital Collections (DCS)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815-753-1003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FM71S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Droog, Alissa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Research and Instruction (REF)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815-753-4025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FM204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Egolf, Jacklyn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Technical Services (TS)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815-753-8392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FM71S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Finley, Wayne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Research and Instruction (REF)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815-753-0991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FM207C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Garcia, Larissa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Research and Instruction (REF)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815-753-4822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FM145C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Gardner, Cheryl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Administration (ADM)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815-753-9808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FM417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Gregory, Gwen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Administration (ADM)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815-753-1746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FM428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Hada, Stephanie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Technical Services (TS)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815-753-0704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FM54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Hamilton, Mark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Government Publications (GPD)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815-753-9841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FM245A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Hunt, Michele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Technical Services (TS)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815-753-6985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FM71D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Jimenez, Nora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Special Collections and Archives (SCA)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815-753-8091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FM403C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Johnson, Wendell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Research and Instruction (REF)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815-753-1634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FM207A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Kulma, Joanna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Southeast Asia Collection (SEA)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815-753-1819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FM496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Little, Margie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Technical Services (TS)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815-753-1995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FM71S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Maxwell, Tina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Information Delivery Services (IDS)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815-753-9901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FM129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McCord, Brock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Technical Services (TS)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815-753-7907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FM71S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McGowan, Beth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Special Collections and Archives (SCA)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815-753-0255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FM423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Oelschlager, Annemarie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Digital Collections (DCS)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815-753-9394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FM71A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Osorio, Nestor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Research and Instruction (REF)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815-753-9837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FM304B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Peet, Michael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7.6"/>
                <w:szCs w:val="17.6"/>
              </w:rPr>
              <w:t xml:space="preserve">Facilities (FAC)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815-753-1612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FM115A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Phan, Hao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Southeast Asia Collection (SEA)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815-753-1809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FM497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Phares, Dee Anna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Research and Instruction (REF)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815-753-1770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FM145B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Prescott, Sata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Digital Collections (DCS)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815-753-0506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FM71S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Richter, Sara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Reserves Processing (RPM)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815-753-5614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FM128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Ridinger, Robert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Research and Instruction (REF)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815-753-1367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FM268A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Sanchez, Patrick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Information Delivery Services (IDS)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815-753-3039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FM127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Scharmacher, Steffen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Technology Support Services (SS)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815-753-9452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FM97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Schumacher, Jaime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Scholarly Communications (SCOA)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815-753-0576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FM145D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Short, Matthew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Digital Collections (DCS)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815-753-9868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FM52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Shotick, Kimberly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Research and Instruction (REF)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815-753-5290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FM145F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Sterner, Betsy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Research and Instruction (REF)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815-753-0203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FM311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Thomas, Joe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Technology Support Services (SS)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815-753-9452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FM97A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VandeCreek, Drew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Administration (ADM)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815-753-7179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FM203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VandeCreek, Leanne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Administration (ADM)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815-753-9804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FM414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Villagomez, Martha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Information Delivery Services (IDS)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815-753-0796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FM127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Walker, Jill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Technical Services (TS)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815-753-1995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FM53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Weishaar, Gary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.8"/>
                <w:szCs w:val="16.8"/>
              </w:rPr>
              <w:t xml:space="preserve">Circulation (CIRC)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815-753-0343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FM115B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Wiles, Bradley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Special Collections and Archives (SCA)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815-753-9392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FM404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Wilkinson, Jared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 xml:space="preserve">Technology Support Services (SS)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815-753-9452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FM97</w:t>
            </w:r>
          </w:p>
        </w:tc>
      </w:tr>
      <w:tr>
        <w:trPr>
          <w:trHeight w:val="300" w:hRule="exact"/>
        </w:trPr>
        <w:tc>
          <w:tcPr>
            <w:tcW w:w="3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Yamprai, Nan . . . . . . . . . . . . . . . . . . . . . . . . . . . . . . . . . . . . . . . . . . . . . . . . . . . . . . . . . . . . . . . . . . . . . . . . . . . . . . . . . . . . . . . . . . . . . . . . . . . . </w:t>
            </w:r>
          </w:p>
        </w:tc>
        <w:tc>
          <w:tcPr>
            <w:tcW w:w="5000" w:type="dxa"/>
            <w:noWrap/>
          </w:tcPr>
          <w:p>
            <w:pPr>
              <w:jc w:val="start"/>
            </w:pPr>
            <w:r>
              <w:rPr>
                <w:rFonts w:ascii="Arial" w:hAnsi="Arial" w:eastAsia="Arial" w:cs="Arial"/>
                <w:color w:val="000000"/>
                <w:sz w:val="19.6"/>
                <w:szCs w:val="19.6"/>
              </w:rPr>
              <w:t xml:space="preserve">Music (MUS)</w:t>
            </w:r>
          </w:p>
        </w:tc>
        <w:tc>
          <w:tcPr>
            <w:tcW w:w="2000" w:type="dxa"/>
            <w:noWrap/>
          </w:tcPr>
          <w:p>
            <w:pPr>
              <w:jc w:val="start"/>
            </w:pPr>
            <w:r>
              <w:rPr>
                <w:rStyle w:val="FMLstyleM"/>
              </w:rPr>
              <w:t xml:space="preserve">815-753-6527</w:t>
            </w:r>
          </w:p>
        </w:tc>
        <w:tc>
          <w:tcPr>
            <w:tcW w:w="900" w:type="dxa"/>
            <w:noWrap/>
          </w:tcPr>
          <w:p>
            <w:pPr>
              <w:jc w:val="end"/>
            </w:pPr>
            <w:r>
              <w:rPr>
                <w:rStyle w:val="FMLstyleM"/>
              </w:rPr>
              <w:t xml:space="preserve">MB175</w:t>
            </w:r>
          </w:p>
        </w:tc>
      </w:tr>
    </w:tbl>
    <w:tbl>
      <w:tblGrid/>
      <w:tr>
        <w:trPr>
          <w:trHeight w:val="50" w:hRule="exact"/>
        </w:trPr>
        <w:tc>
          <w:tcPr>
            <w:noWrap/>
          </w:tcPr>
          <w:p/>
        </w:tc>
      </w:tr>
    </w:tbl>
    <w:sectPr>
      <w:headerReference w:type="default" r:id="rId7"/>
      <w:footerReference w:type="default" r:id="rId8"/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Arial" w:hAnsi="Arial" w:eastAsia="Arial" w:cs="Arial"/>
        <w:color w:val="000000"/>
        <w:sz w:val="16"/>
        <w:szCs w:val="16"/>
        <w:b w:val="0"/>
        <w:bCs w:val="0"/>
      </w:rPr>
      <w:t xml:space="preserve">Page </w:t>
    </w:r>
    <w:r>
      <w:fldChar w:fldCharType="begin"/>
    </w:r>
    <w:r>
      <w:rPr>
        <w:rFonts w:ascii="Arial" w:hAnsi="Arial" w:eastAsia="Arial" w:cs="Arial"/>
        <w:color w:val="000000"/>
        <w:sz w:val="16"/>
        <w:szCs w:val="16"/>
        <w:b w:val="0"/>
        <w:bCs w:val="0"/>
      </w:rPr>
      <w:instrText xml:space="preserve">PAGE</w:instrText>
    </w:r>
    <w:r>
      <w:fldChar w:fldCharType="separate"/>
    </w:r>
    <w:r>
      <w:fldChar w:fldCharType="end"/>
    </w:r>
    <w:r>
      <w:rPr>
        <w:rFonts w:ascii="Arial" w:hAnsi="Arial" w:eastAsia="Arial" w:cs="Arial"/>
        <w:color w:val="000000"/>
        <w:sz w:val="16"/>
        <w:szCs w:val="16"/>
        <w:b w:val="0"/>
        <w:bCs w:val="0"/>
      </w:rPr>
      <w:t xml:space="preserve">/</w:t>
    </w:r>
    <w:r>
      <w:fldChar w:fldCharType="begin"/>
    </w:r>
    <w:r>
      <w:rPr>
        <w:rFonts w:ascii="Arial" w:hAnsi="Arial" w:eastAsia="Arial" w:cs="Arial"/>
        <w:color w:val="000000"/>
        <w:sz w:val="16"/>
        <w:szCs w:val="16"/>
        <w:b w:val="0"/>
        <w:bCs w:val="0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8000" w:type="dxa"/>
      <w:gridCol w:w="8000" w:type="dxa"/>
    </w:tblGrid>
    <w:tr>
      <w:trPr/>
      <w:tc>
        <w:tcPr>
          <w:tcW w:w="8000" w:type="dxa"/>
          <w:noWrap/>
        </w:tcPr>
        <w:p>
          <w:pPr>
            <w:jc w:val="start"/>
          </w:pPr>
          <w:r>
            <w:pict>
              <v:shape type="#_x0000_t75" stroked="f" alt="Northern Illinois University logo" style="width:160pt; height:45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noWrap/>
        </w:tcPr>
        <w:p>
          <w:pPr>
            <w:jc w:val="end"/>
            <w:spacing w:before="125" w:after="100" w:line="240" w:lineRule="auto"/>
          </w:pPr>
          <w:r>
            <w:rPr>
              <w:rFonts w:ascii="Arial" w:hAnsi="Arial" w:eastAsia="Arial" w:cs="Arial"/>
              <w:color w:val="000000"/>
              <w:sz w:val="24"/>
              <w:szCs w:val="24"/>
              <w:b w:val="1"/>
              <w:bCs w:val="1"/>
            </w:rPr>
            <w:t xml:space="preserve">Services and Personnel Directory</w:t>
          </w:r>
        </w:p>
        <w:p>
          <w:pPr>
            <w:jc w:val="end"/>
            <w:spacing w:line="240" w:lineRule="auto"/>
          </w:pPr>
          <w:r>
            <w:rPr>
              <w:rFonts w:ascii="Arial" w:hAnsi="Arial" w:eastAsia="Arial" w:cs="Arial"/>
              <w:color w:val="000000"/>
              <w:sz w:val="16"/>
              <w:szCs w:val="16"/>
              <w:b w:val="0"/>
              <w:bCs w:val="0"/>
            </w:rPr>
            <w:t xml:space="preserve">Printed: 09/14/2026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MLstyle"/>
    <w:rPr>
      <w:rFonts w:ascii="Arial" w:hAnsi="Arial" w:eastAsia="Arial" w:cs="Arial"/>
      <w:color w:val="000000"/>
      <w:sz w:val="24"/>
      <w:szCs w:val="24"/>
      <w:b w:val="0"/>
      <w:bCs w:val="0"/>
    </w:rPr>
  </w:style>
  <w:style w:type="character">
    <w:name w:val="FMLstyleB"/>
    <w:rPr>
      <w:rFonts w:ascii="Arial" w:hAnsi="Arial" w:eastAsia="Arial" w:cs="Arial"/>
      <w:color w:val="000000"/>
      <w:sz w:val="24"/>
      <w:szCs w:val="24"/>
      <w:b w:val="1"/>
      <w:bCs w:val="1"/>
    </w:rPr>
  </w:style>
  <w:style w:type="character">
    <w:name w:val="FMLstyleM"/>
    <w:rPr>
      <w:rFonts w:ascii="Arial" w:hAnsi="Arial" w:eastAsia="Arial" w:cs="Arial"/>
      <w:color w:val="000000"/>
      <w:sz w:val="20"/>
      <w:szCs w:val="20"/>
      <w:b w:val="0"/>
      <w:bCs w:val="0"/>
    </w:rPr>
  </w:style>
  <w:style w:type="character">
    <w:name w:val="FMLstyleS"/>
    <w:rPr>
      <w:rFonts w:ascii="Arial" w:hAnsi="Arial" w:eastAsia="Arial" w:cs="Arial"/>
      <w:color w:val="000000"/>
      <w:sz w:val="16"/>
      <w:szCs w:val="16"/>
      <w:b w:val="0"/>
      <w:bCs w:val="0"/>
    </w:rPr>
  </w:style>
  <w:style w:type="paragraph" w:styleId="Heading1">
    <w:link w:val="Heading1Char"/>
    <w:name w:val="heading 1"/>
    <w:basedOn w:val="Normal"/>
    <w:pPr>
      <w:jc w:val="center"/>
    </w:pPr>
    <w:rPr>
      <w:rFonts w:ascii="Arial" w:hAnsi="Arial" w:eastAsia="Arial" w:cs="Arial"/>
      <w:color w:val="000000"/>
      <w:sz w:val="24"/>
      <w:szCs w:val="24"/>
      <w:b w:val="1"/>
      <w:bCs w:val="1"/>
      <w:i w:val="1"/>
      <w:iCs w:val="1"/>
    </w:rPr>
  </w:style>
  <w:style w:type="paragraph" w:styleId="Heading2">
    <w:link w:val="Heading2Char"/>
    <w:name w:val="heading 2"/>
    <w:basedOn w:val="Normal"/>
    <w:pPr>
      <w:jc w:val="start"/>
    </w:pPr>
    <w:rPr>
      <w:rFonts w:ascii="Arial" w:hAnsi="Arial" w:eastAsia="Arial" w:cs="Arial"/>
      <w:color w:val="000000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University Libraries Dashboard</dc:creator>
  <dc:title>Services and Personnel Directory</dc:title>
  <dc:description>Libraries employee, contact and services information.</dc:description>
  <dc:subject>Services and Personnel Directory</dc:subject>
  <cp:keywords/>
  <cp:category/>
  <cp:lastModifiedBy/>
  <dcterms:created xsi:type="dcterms:W3CDTF">2026-09-14T09:01:35-05:00</dcterms:created>
  <dcterms:modified xsi:type="dcterms:W3CDTF">2026-09-14T09:01:35-05:00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